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80C" w:rsidRDefault="0032180C" w:rsidP="0032180C">
      <w:pPr>
        <w:rPr>
          <w:sz w:val="28"/>
          <w:szCs w:val="28"/>
        </w:rPr>
      </w:pPr>
    </w:p>
    <w:p w:rsidR="0032180C" w:rsidRDefault="0032180C" w:rsidP="0032180C">
      <w:pPr>
        <w:rPr>
          <w:sz w:val="28"/>
          <w:szCs w:val="28"/>
        </w:rPr>
      </w:pPr>
    </w:p>
    <w:p w:rsidR="0032180C" w:rsidRDefault="0032180C" w:rsidP="0032180C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PARECER n.º 06-AJ/2015</w:t>
      </w:r>
    </w:p>
    <w:p w:rsidR="0032180C" w:rsidRDefault="0032180C" w:rsidP="0032180C">
      <w:pPr>
        <w:jc w:val="right"/>
        <w:rPr>
          <w:rFonts w:cs="Arial"/>
          <w:i/>
          <w:szCs w:val="24"/>
        </w:rPr>
      </w:pPr>
    </w:p>
    <w:p w:rsidR="0032180C" w:rsidRDefault="0032180C" w:rsidP="0032180C">
      <w:pPr>
        <w:jc w:val="right"/>
        <w:rPr>
          <w:rFonts w:cs="Arial"/>
          <w:i/>
          <w:szCs w:val="24"/>
        </w:rPr>
      </w:pPr>
      <w:r>
        <w:rPr>
          <w:rFonts w:cs="Arial"/>
          <w:i/>
          <w:szCs w:val="24"/>
        </w:rPr>
        <w:t>Caxias do Sul, 02 de maio de 2015.</w:t>
      </w:r>
    </w:p>
    <w:p w:rsidR="0032180C" w:rsidRDefault="0032180C" w:rsidP="0032180C">
      <w:pPr>
        <w:rPr>
          <w:rFonts w:cs="Arial"/>
          <w:szCs w:val="24"/>
        </w:rPr>
      </w:pPr>
    </w:p>
    <w:p w:rsidR="0032180C" w:rsidRDefault="0032180C" w:rsidP="0032180C">
      <w:pPr>
        <w:rPr>
          <w:rFonts w:cs="Arial"/>
          <w:szCs w:val="24"/>
        </w:rPr>
      </w:pPr>
      <w:r>
        <w:rPr>
          <w:rFonts w:cs="Arial"/>
          <w:szCs w:val="24"/>
        </w:rPr>
        <w:tab/>
        <w:t xml:space="preserve">Ao Senhor Presidente da Câmara Municipal </w:t>
      </w:r>
    </w:p>
    <w:p w:rsidR="0032180C" w:rsidRDefault="0032180C" w:rsidP="0032180C">
      <w:pPr>
        <w:jc w:val="center"/>
        <w:rPr>
          <w:b/>
          <w:szCs w:val="24"/>
        </w:rPr>
      </w:pPr>
    </w:p>
    <w:p w:rsidR="0032180C" w:rsidRDefault="0032180C" w:rsidP="0032180C">
      <w:pPr>
        <w:rPr>
          <w:b/>
          <w:szCs w:val="24"/>
        </w:rPr>
      </w:pPr>
      <w:r>
        <w:rPr>
          <w:szCs w:val="24"/>
        </w:rPr>
        <w:tab/>
        <w:t xml:space="preserve">Assunto: </w:t>
      </w:r>
      <w:r>
        <w:rPr>
          <w:b/>
          <w:szCs w:val="24"/>
        </w:rPr>
        <w:t xml:space="preserve">Contratação de informativos técnicos e consultoria </w:t>
      </w:r>
    </w:p>
    <w:p w:rsidR="0032180C" w:rsidRDefault="0032180C" w:rsidP="0032180C">
      <w:pPr>
        <w:rPr>
          <w:rFonts w:cs="Arial"/>
          <w:szCs w:val="24"/>
        </w:rPr>
      </w:pPr>
    </w:p>
    <w:p w:rsidR="0032180C" w:rsidRDefault="0032180C" w:rsidP="0032180C">
      <w:pPr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Senhor Presidente:</w:t>
      </w:r>
    </w:p>
    <w:p w:rsidR="0032180C" w:rsidRDefault="0032180C" w:rsidP="0032180C">
      <w:pPr>
        <w:rPr>
          <w:rFonts w:cs="Arial"/>
          <w:szCs w:val="24"/>
        </w:rPr>
      </w:pPr>
    </w:p>
    <w:p w:rsidR="0032180C" w:rsidRDefault="0032180C" w:rsidP="0032180C">
      <w:pPr>
        <w:spacing w:after="120"/>
        <w:ind w:left="709" w:hanging="709"/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Chega a esta Assessoria Jurídica, para análise, </w:t>
      </w:r>
      <w:r>
        <w:t xml:space="preserve">expediente para a contratação direta, por inexigibilidade de licitação, do Instituto </w:t>
      </w:r>
      <w:proofErr w:type="spellStart"/>
      <w:r>
        <w:t>Gamma</w:t>
      </w:r>
      <w:proofErr w:type="spellEnd"/>
      <w:r>
        <w:t xml:space="preserve"> de Assessoria a Órgãos Públicos Ltda. – IGAM.</w:t>
      </w:r>
    </w:p>
    <w:p w:rsidR="0032180C" w:rsidRDefault="0032180C" w:rsidP="0032180C">
      <w:pPr>
        <w:spacing w:after="120"/>
        <w:ind w:left="709" w:hanging="709"/>
      </w:pPr>
      <w:r>
        <w:tab/>
      </w:r>
      <w:r>
        <w:tab/>
        <w:t xml:space="preserve">Objetiva-se a contratação da referida empresa para a prestação de </w:t>
      </w:r>
      <w:r>
        <w:rPr>
          <w:i/>
        </w:rPr>
        <w:t>“serviços técnicos especializados de assessoria e consultoria contábil, de gestão e jurídica, através de consultas por escrito, por telefone, internet e pessoalmente e disponibilização de textos técnicos de interesse da administração e remessa de informações técnicas”</w:t>
      </w:r>
      <w:r>
        <w:t>.</w:t>
      </w:r>
    </w:p>
    <w:p w:rsidR="0032180C" w:rsidRDefault="0032180C" w:rsidP="0032180C">
      <w:pPr>
        <w:spacing w:after="120"/>
        <w:ind w:left="709" w:hanging="709"/>
      </w:pPr>
      <w:r>
        <w:tab/>
      </w:r>
      <w:r>
        <w:tab/>
        <w:t>Os serviços compreendem, basicamente, consultoria e assessoria contábil, jurídica e de gestão; disponibilização de textos técnicos mensais, notas técnicas explicativas, newsletters, agenda mensal de obrigações, tabelas de incidências, acesso a artigos sobre gestão pública e biblioteca de vídeos técnicos; acompanhamento de processos nos Tribunais de Contas; e desconto nos cursos ministrados pelo proponente.</w:t>
      </w:r>
    </w:p>
    <w:p w:rsidR="0032180C" w:rsidRDefault="0032180C" w:rsidP="0032180C">
      <w:pPr>
        <w:spacing w:after="120"/>
        <w:ind w:left="709" w:hanging="709"/>
      </w:pPr>
      <w:r>
        <w:tab/>
      </w:r>
      <w:r>
        <w:tab/>
        <w:t>É o breve relatório.</w:t>
      </w:r>
    </w:p>
    <w:p w:rsidR="0032180C" w:rsidRDefault="0032180C" w:rsidP="0032180C">
      <w:pPr>
        <w:spacing w:after="120"/>
        <w:ind w:left="709" w:hanging="709"/>
      </w:pPr>
      <w:r>
        <w:tab/>
      </w:r>
      <w:r>
        <w:tab/>
        <w:t>Opino.</w:t>
      </w:r>
    </w:p>
    <w:p w:rsidR="0032180C" w:rsidRDefault="0032180C" w:rsidP="0032180C">
      <w:pPr>
        <w:spacing w:after="120"/>
        <w:ind w:left="709" w:hanging="709"/>
      </w:pPr>
      <w:r>
        <w:tab/>
      </w:r>
      <w:r>
        <w:tab/>
        <w:t xml:space="preserve">A Câmara Municipal de Caxias do Sul pretende contratar diretamente, por inexigibilidade de licitação, os serviços oferecidos pela sociedade limitada Instituto </w:t>
      </w:r>
      <w:proofErr w:type="spellStart"/>
      <w:r>
        <w:t>Gamma</w:t>
      </w:r>
      <w:proofErr w:type="spellEnd"/>
      <w:r>
        <w:t xml:space="preserve"> de Assessoria a Órgãos Públicos – IGAM.</w:t>
      </w:r>
    </w:p>
    <w:p w:rsidR="0032180C" w:rsidRDefault="0032180C" w:rsidP="0032180C">
      <w:pPr>
        <w:spacing w:after="120"/>
        <w:ind w:left="709" w:hanging="709"/>
      </w:pPr>
      <w:r>
        <w:tab/>
      </w:r>
      <w:r>
        <w:tab/>
        <w:t xml:space="preserve">Como sabido, a regra geral aplicável às contratações públicas é a de submetê-las ao regime do procedimento prévio da licitação, exigência esta que tem assento constitucional nos art. 37, inciso XXI, da Constituição Federal. </w:t>
      </w:r>
    </w:p>
    <w:p w:rsidR="0032180C" w:rsidRDefault="0032180C" w:rsidP="0032180C">
      <w:pPr>
        <w:spacing w:after="120"/>
        <w:ind w:left="709" w:hanging="709"/>
      </w:pPr>
      <w:r>
        <w:tab/>
      </w:r>
      <w:r>
        <w:tab/>
        <w:t xml:space="preserve">Não obstante, o próprio texto constitucional assegura que, nos termos da lei, prevejam-se hipóteses que permitam a contratação direta, a fim de atender o interesse público primordial, posto que nem sempre a competição se </w:t>
      </w:r>
      <w:proofErr w:type="gramStart"/>
      <w:r>
        <w:t>traduz</w:t>
      </w:r>
      <w:proofErr w:type="gramEnd"/>
      <w:r>
        <w:t xml:space="preserve"> na melhor fórmula para atende-lo. Há casos em que a realização de um longo e custoso processo seletivo (licitação) eliminaria qualquer vantagem que se pretendesse obter pelo Poder Público. Em outras situações, ela é flagrantemente contrária ao interesse público (por exemplo, em casos de extrema urgência, quando a necessidade do bem ou serviço é </w:t>
      </w:r>
      <w:proofErr w:type="gramStart"/>
      <w:r>
        <w:t>imediata</w:t>
      </w:r>
      <w:proofErr w:type="gramEnd"/>
      <w:r>
        <w:t xml:space="preserve">). Por fim, casos há em que é impossível a escolha do contratante segundo critérios objetivos. </w:t>
      </w:r>
    </w:p>
    <w:p w:rsidR="0032180C" w:rsidRDefault="0032180C" w:rsidP="0032180C">
      <w:pPr>
        <w:spacing w:after="120"/>
        <w:ind w:left="709" w:hanging="709"/>
      </w:pPr>
      <w:r>
        <w:tab/>
      </w:r>
      <w:r>
        <w:tab/>
        <w:t xml:space="preserve">Tal é o que dispõe o art. 25 da Lei nº 8.666/93, ocasiões em que a licitação será inexigível toda vez em que </w:t>
      </w:r>
      <w:r>
        <w:rPr>
          <w:i/>
        </w:rPr>
        <w:t>“houver inviabilidade de competição”</w:t>
      </w:r>
      <w:r>
        <w:t xml:space="preserve">, </w:t>
      </w:r>
      <w:r>
        <w:lastRenderedPageBreak/>
        <w:t>em especial, para a contratação de fornecedor exclusivo e de serviços técnicos de natureza singular com profissionais ou empresas de notória especialização.</w:t>
      </w:r>
    </w:p>
    <w:p w:rsidR="0032180C" w:rsidRDefault="0032180C" w:rsidP="0032180C">
      <w:pPr>
        <w:spacing w:after="120"/>
        <w:ind w:left="709" w:hanging="709"/>
      </w:pPr>
      <w:r>
        <w:tab/>
      </w:r>
      <w:r>
        <w:tab/>
        <w:t xml:space="preserve">Destarte, Marçal </w:t>
      </w:r>
      <w:proofErr w:type="spellStart"/>
      <w:r>
        <w:t>Justen</w:t>
      </w:r>
      <w:proofErr w:type="spellEnd"/>
      <w:r>
        <w:t xml:space="preserve"> Filho informa que a inviabilidade de competição é </w:t>
      </w:r>
      <w:r>
        <w:rPr>
          <w:i/>
        </w:rPr>
        <w:t xml:space="preserve">“consequência derivada de características existentes na realidade </w:t>
      </w:r>
      <w:proofErr w:type="spellStart"/>
      <w:r>
        <w:rPr>
          <w:i/>
        </w:rPr>
        <w:t>extranormativa</w:t>
      </w:r>
      <w:proofErr w:type="spellEnd"/>
      <w:r>
        <w:rPr>
          <w:i/>
        </w:rPr>
        <w:t>, que tornam a licitação inútil ou contraproducente”</w:t>
      </w:r>
      <w:r>
        <w:t xml:space="preserve">, o que permite afirmar que a </w:t>
      </w:r>
      <w:r>
        <w:rPr>
          <w:i/>
        </w:rPr>
        <w:t xml:space="preserve">“inviabilidade de competição é uma característica do universo </w:t>
      </w:r>
      <w:proofErr w:type="spellStart"/>
      <w:r>
        <w:rPr>
          <w:i/>
        </w:rPr>
        <w:t>extranormativo</w:t>
      </w:r>
      <w:proofErr w:type="spellEnd"/>
      <w:proofErr w:type="gramStart"/>
      <w:r>
        <w:rPr>
          <w:i/>
        </w:rPr>
        <w:t xml:space="preserve"> mas</w:t>
      </w:r>
      <w:proofErr w:type="gramEnd"/>
      <w:r>
        <w:rPr>
          <w:i/>
        </w:rPr>
        <w:t xml:space="preserve"> resultante da peculiaridade da necessidade a ser satisfeita pelo contrato administrativo”.</w:t>
      </w:r>
    </w:p>
    <w:p w:rsidR="0032180C" w:rsidRDefault="0032180C" w:rsidP="0032180C">
      <w:pPr>
        <w:spacing w:after="120"/>
        <w:ind w:left="709" w:hanging="709"/>
      </w:pPr>
      <w:r>
        <w:tab/>
      </w:r>
      <w:r>
        <w:tab/>
        <w:t xml:space="preserve">Ainda segundo o mencionado autor, essa realidade </w:t>
      </w:r>
      <w:proofErr w:type="spellStart"/>
      <w:r>
        <w:t>extranormativa</w:t>
      </w:r>
      <w:proofErr w:type="spellEnd"/>
      <w:r>
        <w:t>, que autoriza a contratação direta por inexigibilidade, está compreendida na expressão objeto singular, constante do inciso II do art. 25 da Lei n.º 8.666/93, que, muito embora conste apenas do mencionado inciso, é um conceito que deve ser generalizado para todos os casos de inexigibilidade:</w:t>
      </w:r>
    </w:p>
    <w:p w:rsidR="0032180C" w:rsidRDefault="0032180C" w:rsidP="0032180C">
      <w:pPr>
        <w:spacing w:after="120"/>
        <w:ind w:left="709" w:hanging="709"/>
      </w:pPr>
      <w:r>
        <w:tab/>
      </w:r>
    </w:p>
    <w:p w:rsidR="0032180C" w:rsidRDefault="0032180C" w:rsidP="0032180C">
      <w:pPr>
        <w:spacing w:after="120"/>
        <w:ind w:left="1418" w:hanging="1418"/>
        <w:rPr>
          <w:i/>
          <w:sz w:val="22"/>
          <w:szCs w:val="22"/>
        </w:rPr>
      </w:pPr>
      <w:r>
        <w:tab/>
      </w:r>
      <w:r>
        <w:tab/>
      </w:r>
      <w:r>
        <w:rPr>
          <w:i/>
          <w:sz w:val="22"/>
          <w:szCs w:val="22"/>
        </w:rPr>
        <w:t xml:space="preserve"> Em todos os casos de inviabilidade de competição, há um objeto singular. A singularidade consiste na impossibilidade de encontrar o objeto que satisfaz o interesse </w:t>
      </w:r>
      <w:proofErr w:type="gramStart"/>
      <w:r>
        <w:rPr>
          <w:i/>
          <w:sz w:val="22"/>
          <w:szCs w:val="22"/>
        </w:rPr>
        <w:t>sob tutela</w:t>
      </w:r>
      <w:proofErr w:type="gramEnd"/>
      <w:r>
        <w:rPr>
          <w:i/>
          <w:sz w:val="22"/>
          <w:szCs w:val="22"/>
        </w:rPr>
        <w:t xml:space="preserve"> estatal dentro de um gênero padronizado, como uma categoria homogênea. Objeto singular é aquele que poderia ser qualificado como infungível, para valer-se de categoria da Teoria Geral do Direito. São infungíveis os objetos que não podem ser substituídos por outros de mesma espécie, qualidade e quantidade. Um objeto singular se caracteriza quando é relevante para a Administração Pública a identidade específica do objeto, sendo impossível sua substituição por ‘equivalentes’.</w:t>
      </w:r>
      <w:proofErr w:type="gramStart"/>
      <w:r>
        <w:rPr>
          <w:i/>
          <w:sz w:val="22"/>
          <w:szCs w:val="22"/>
        </w:rPr>
        <w:tab/>
      </w:r>
      <w:proofErr w:type="gramEnd"/>
    </w:p>
    <w:p w:rsidR="0032180C" w:rsidRDefault="0032180C" w:rsidP="0032180C">
      <w:pPr>
        <w:spacing w:after="120"/>
        <w:ind w:left="1418" w:hanging="1418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Ocorre que a singularidade do objeto nada mais reflete senão a singularidade do próprio interesse estatal a ser atendido. Ou seja, </w:t>
      </w:r>
      <w:proofErr w:type="gramStart"/>
      <w:r>
        <w:rPr>
          <w:i/>
          <w:sz w:val="22"/>
          <w:szCs w:val="22"/>
        </w:rPr>
        <w:t>um certo</w:t>
      </w:r>
      <w:proofErr w:type="gramEnd"/>
      <w:r>
        <w:rPr>
          <w:i/>
          <w:sz w:val="22"/>
          <w:szCs w:val="22"/>
        </w:rPr>
        <w:t xml:space="preserve"> objeto não pode ser substituído por outro, para fins de contratação administrativa, por ser ele o único adequado para atender a necessidade estatal ou pela impossibilidade de satisfação das necessidades coletivas de modo equivalente, por meio de outro objeto”</w:t>
      </w:r>
      <w:r>
        <w:rPr>
          <w:rStyle w:val="Refdenotaderodap"/>
          <w:i/>
          <w:sz w:val="22"/>
          <w:szCs w:val="22"/>
        </w:rPr>
        <w:footnoteReference w:id="1"/>
      </w:r>
    </w:p>
    <w:p w:rsidR="0032180C" w:rsidRDefault="0032180C" w:rsidP="0032180C">
      <w:pPr>
        <w:rPr>
          <w:sz w:val="22"/>
          <w:szCs w:val="22"/>
        </w:rPr>
      </w:pPr>
    </w:p>
    <w:p w:rsidR="0032180C" w:rsidRDefault="0032180C" w:rsidP="0032180C">
      <w:pPr>
        <w:spacing w:after="120"/>
        <w:ind w:left="709" w:hanging="709"/>
      </w:pPr>
      <w:r>
        <w:tab/>
      </w:r>
      <w:r>
        <w:tab/>
        <w:t xml:space="preserve">Compulsando a documentação acostada ao presente expediente, verifica-se que os serviços oferecidos pelo Instituto </w:t>
      </w:r>
      <w:proofErr w:type="spellStart"/>
      <w:r>
        <w:t>Gamma</w:t>
      </w:r>
      <w:proofErr w:type="spellEnd"/>
      <w:r>
        <w:t xml:space="preserve"> de Assessoria a Órgãos Públicos – IGAM estão entre aqueles que podem ser contratados por inexigibilidade – periódicos e informativos técnicos e consultoria técnica, pois são singulares e somente podem ser por ele prestados.</w:t>
      </w:r>
    </w:p>
    <w:p w:rsidR="0032180C" w:rsidRDefault="0032180C" w:rsidP="0032180C">
      <w:pPr>
        <w:spacing w:after="120"/>
        <w:ind w:left="709" w:hanging="709"/>
      </w:pPr>
      <w:r>
        <w:tab/>
      </w:r>
      <w:r>
        <w:tab/>
        <w:t xml:space="preserve">Além do caput do art. 25 da Lei n.º 8.666/93 autorizar a contratação direta devido à inviabilidade de competição, o inciso I do referido artigo também a autoriza quando se tratar de fornecedor exclusivo. </w:t>
      </w:r>
    </w:p>
    <w:p w:rsidR="0032180C" w:rsidRDefault="0032180C" w:rsidP="0032180C">
      <w:pPr>
        <w:spacing w:after="120"/>
        <w:ind w:left="709" w:hanging="709"/>
      </w:pPr>
      <w:r>
        <w:tab/>
      </w:r>
      <w:r>
        <w:tab/>
        <w:t xml:space="preserve">Conforme declaração da Associação Comercial de Porto Alegre – ACPA, o Instituto </w:t>
      </w:r>
      <w:proofErr w:type="spellStart"/>
      <w:r>
        <w:t>Gamma</w:t>
      </w:r>
      <w:proofErr w:type="spellEnd"/>
      <w:r>
        <w:t xml:space="preserve"> de Assessoria a Órgãos Públicos Ltda. – IGAM detém a exclusividade de comercialização dos informativos técnicos </w:t>
      </w:r>
      <w:r>
        <w:rPr>
          <w:i/>
        </w:rPr>
        <w:t>“Tabelas, Agendas de Obrigações Tributárias e Incidências”</w:t>
      </w:r>
      <w:r>
        <w:t xml:space="preserve">; </w:t>
      </w:r>
      <w:r>
        <w:rPr>
          <w:i/>
        </w:rPr>
        <w:t>“</w:t>
      </w:r>
      <w:proofErr w:type="spellStart"/>
      <w:r>
        <w:rPr>
          <w:i/>
        </w:rPr>
        <w:t>Igam</w:t>
      </w:r>
      <w:proofErr w:type="spellEnd"/>
      <w:r>
        <w:rPr>
          <w:i/>
        </w:rPr>
        <w:t xml:space="preserve"> Express”</w:t>
      </w:r>
      <w:r>
        <w:t xml:space="preserve">; </w:t>
      </w:r>
      <w:r>
        <w:rPr>
          <w:i/>
        </w:rPr>
        <w:t>“Legislativo”</w:t>
      </w:r>
      <w:r>
        <w:t xml:space="preserve">; </w:t>
      </w:r>
      <w:r>
        <w:rPr>
          <w:i/>
        </w:rPr>
        <w:t>“RPPS”</w:t>
      </w:r>
      <w:r>
        <w:t xml:space="preserve">; </w:t>
      </w:r>
      <w:r>
        <w:rPr>
          <w:i/>
        </w:rPr>
        <w:t>“Tributos Municipais”</w:t>
      </w:r>
      <w:r>
        <w:t xml:space="preserve">; </w:t>
      </w:r>
      <w:r>
        <w:rPr>
          <w:i/>
        </w:rPr>
        <w:t>“Servidor Público”</w:t>
      </w:r>
      <w:r>
        <w:t xml:space="preserve">; </w:t>
      </w:r>
      <w:r>
        <w:rPr>
          <w:i/>
        </w:rPr>
        <w:t>“Contabilidade aplicada ao Setor Público”</w:t>
      </w:r>
      <w:r>
        <w:t xml:space="preserve">; </w:t>
      </w:r>
      <w:r>
        <w:rPr>
          <w:i/>
        </w:rPr>
        <w:t>“INSS”</w:t>
      </w:r>
      <w:r>
        <w:t xml:space="preserve">, </w:t>
      </w:r>
      <w:r>
        <w:rPr>
          <w:i/>
        </w:rPr>
        <w:t>“IRRF”</w:t>
      </w:r>
      <w:r>
        <w:t xml:space="preserve"> e </w:t>
      </w:r>
      <w:r>
        <w:rPr>
          <w:i/>
        </w:rPr>
        <w:t>“Obrigações Fiscais”</w:t>
      </w:r>
      <w:r>
        <w:t xml:space="preserve">; e </w:t>
      </w:r>
      <w:r>
        <w:rPr>
          <w:i/>
        </w:rPr>
        <w:t>“Licitações e Compras Governamentais”</w:t>
      </w:r>
      <w:r>
        <w:t>, os quais interessam ao Poder Legislativo municipal.</w:t>
      </w:r>
    </w:p>
    <w:p w:rsidR="0032180C" w:rsidRDefault="0032180C" w:rsidP="0032180C">
      <w:pPr>
        <w:spacing w:after="120"/>
        <w:ind w:left="709" w:hanging="709"/>
      </w:pPr>
      <w:r>
        <w:lastRenderedPageBreak/>
        <w:tab/>
      </w:r>
      <w:r>
        <w:tab/>
        <w:t xml:space="preserve">Assim como um jornal ou um periódico não pode ser comparado a outro, segundo critérios objetivos e padronizáveis, um informativo técnico ou consulta técnica também nunca poderão ser comparados a outras. Cada serviço de informação ou consultoria é diferente dos demais, impossíveis de serem comparados. </w:t>
      </w:r>
    </w:p>
    <w:p w:rsidR="0032180C" w:rsidRDefault="0032180C" w:rsidP="0032180C">
      <w:pPr>
        <w:spacing w:after="120"/>
        <w:ind w:left="709" w:hanging="709"/>
      </w:pPr>
      <w:r>
        <w:tab/>
      </w:r>
      <w:r>
        <w:tab/>
        <w:t xml:space="preserve">Por outro lado, ainda em relação à singularidade do serviço, em se tratando de serviços de informações e consultoria técnica, esta se caracteriza por sua natureza intelectual, subjetiva, de forma que não é possível mensurá-la segundo critérios objetivos, nos termos do art. 3º da Lei de Licitações. </w:t>
      </w:r>
    </w:p>
    <w:p w:rsidR="0032180C" w:rsidRDefault="0032180C" w:rsidP="0032180C">
      <w:pPr>
        <w:spacing w:after="120"/>
        <w:ind w:left="709" w:hanging="709"/>
      </w:pPr>
      <w:r>
        <w:tab/>
      </w:r>
      <w:r>
        <w:tab/>
        <w:t>A capacidade de resolver um problema técnico</w:t>
      </w:r>
      <w:proofErr w:type="gramStart"/>
      <w:r>
        <w:t>, seja</w:t>
      </w:r>
      <w:proofErr w:type="gramEnd"/>
      <w:r>
        <w:t xml:space="preserve"> mediante a análises de relatórios contábeis ou interpretações jurídicas ou, ainda, técnicas de gestão não podem ser mensuradas por critérios objetivos, necessários para a realização de um procedimento licitatório, no qual se exige um julgamento objetivo.</w:t>
      </w:r>
    </w:p>
    <w:p w:rsidR="0032180C" w:rsidRDefault="0032180C" w:rsidP="0032180C">
      <w:pPr>
        <w:spacing w:after="120"/>
        <w:ind w:left="709" w:hanging="709"/>
      </w:pPr>
      <w:r>
        <w:tab/>
      </w:r>
      <w:r>
        <w:tab/>
        <w:t>Com efeito, segundo Celso Antônio Bandeira de Mello:</w:t>
      </w:r>
    </w:p>
    <w:p w:rsidR="0032180C" w:rsidRDefault="0032180C" w:rsidP="0032180C">
      <w:pPr>
        <w:spacing w:after="120"/>
        <w:ind w:left="709" w:hanging="709"/>
      </w:pPr>
    </w:p>
    <w:p w:rsidR="0032180C" w:rsidRDefault="0032180C" w:rsidP="0032180C">
      <w:pPr>
        <w:spacing w:after="120"/>
        <w:ind w:left="1418" w:hanging="1418"/>
        <w:rPr>
          <w:i/>
          <w:sz w:val="22"/>
          <w:szCs w:val="22"/>
        </w:rPr>
      </w:pPr>
      <w:r>
        <w:tab/>
      </w:r>
      <w:r>
        <w:tab/>
      </w:r>
      <w:proofErr w:type="gramStart"/>
      <w:r>
        <w:rPr>
          <w:i/>
          <w:sz w:val="22"/>
          <w:szCs w:val="22"/>
        </w:rPr>
        <w:t>“</w:t>
      </w:r>
      <w:proofErr w:type="gramEnd"/>
      <w:r>
        <w:rPr>
          <w:i/>
          <w:sz w:val="22"/>
          <w:szCs w:val="22"/>
        </w:rPr>
        <w:t>(...) a singularidade é relevante e um serviço deve ser havido como singular quando nele tem de interferir, como requisito de satisfatório atendimento da necessidade administrativa, um componente criativo de seu autor, envolvendo o estilo, o traço, a engenhosidade, a especial habilidade, a contribuição intelectual, artística, ou a argúcia de quem o executa, atributos, estes, que são precisamente os que a Administração reputa convenientes e necessita para a satisfação do interesse público em causa.</w:t>
      </w:r>
    </w:p>
    <w:p w:rsidR="0032180C" w:rsidRDefault="0032180C" w:rsidP="0032180C">
      <w:pPr>
        <w:spacing w:after="120"/>
        <w:ind w:left="1418" w:hanging="1418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Embora outros, talvez até muitos, pudessem desempenhar a mesma atividade científica, técnica ou artística, cada qual o faria à sua moda, de acordo com os próprios critérios, sensibilidade, juízos, interpretações e conclusões, parciais ou finais, e tais fatores </w:t>
      </w:r>
      <w:proofErr w:type="spellStart"/>
      <w:r>
        <w:rPr>
          <w:i/>
          <w:sz w:val="22"/>
          <w:szCs w:val="22"/>
        </w:rPr>
        <w:t>individualizadores</w:t>
      </w:r>
      <w:proofErr w:type="spellEnd"/>
      <w:r>
        <w:rPr>
          <w:i/>
          <w:sz w:val="22"/>
          <w:szCs w:val="22"/>
        </w:rPr>
        <w:t xml:space="preserve"> repercutirão necessariamente quanto à maior ou menor satisfação do interesse público. (...)</w:t>
      </w:r>
    </w:p>
    <w:p w:rsidR="0032180C" w:rsidRDefault="0032180C" w:rsidP="0032180C">
      <w:pPr>
        <w:spacing w:after="120"/>
        <w:ind w:left="1418" w:hanging="1418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É natural, pois, que, em situações deste gênero, a eleição do eventual contratado - a ser obrigatoriamente escolhido entre os sujeitos de reconhecida competência na matéria - recaia em profissional ou empresa cujos desempenhos despertem no contratante a convicção de que, para cada caso, serão presumivelmente mais indicados do que os de outros, despertando-lhe a confiança de que produzirá a atividade mais adequada para o caso.</w:t>
      </w:r>
    </w:p>
    <w:p w:rsidR="0032180C" w:rsidRDefault="0032180C" w:rsidP="0032180C">
      <w:pPr>
        <w:spacing w:after="120"/>
        <w:ind w:left="1418" w:hanging="1418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Há, pois, nisto também um componente subjetivo </w:t>
      </w:r>
      <w:proofErr w:type="spellStart"/>
      <w:r>
        <w:rPr>
          <w:i/>
          <w:sz w:val="22"/>
          <w:szCs w:val="22"/>
        </w:rPr>
        <w:t>ineliminável</w:t>
      </w:r>
      <w:proofErr w:type="spellEnd"/>
      <w:r>
        <w:rPr>
          <w:i/>
          <w:sz w:val="22"/>
          <w:szCs w:val="22"/>
        </w:rPr>
        <w:t xml:space="preserve"> por parte de quem contrata.</w:t>
      </w:r>
    </w:p>
    <w:p w:rsidR="0032180C" w:rsidRDefault="0032180C" w:rsidP="0032180C">
      <w:pPr>
        <w:spacing w:after="120"/>
        <w:ind w:left="1418" w:hanging="1418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Foi, aliás, o que Lucia Valle Figueiredo, eminente Desembargadora Federal aposentada do TRF da 3ª Região, apontou com propriedade: ‘Se há dois, ou mais, altamente capacitados, mas com qualidades peculiares, lícito é, à Administração, exercer seu critério discricionário para realizar a escolha mais compatível com seus </w:t>
      </w:r>
      <w:proofErr w:type="gramStart"/>
      <w:r>
        <w:rPr>
          <w:i/>
          <w:sz w:val="22"/>
          <w:szCs w:val="22"/>
        </w:rPr>
        <w:t>desideratos”</w:t>
      </w:r>
      <w:proofErr w:type="gramEnd"/>
      <w:r>
        <w:rPr>
          <w:rStyle w:val="Refdenotaderodap"/>
          <w:i/>
          <w:sz w:val="22"/>
          <w:szCs w:val="22"/>
        </w:rPr>
        <w:footnoteReference w:id="2"/>
      </w:r>
      <w:r>
        <w:rPr>
          <w:i/>
          <w:sz w:val="22"/>
          <w:szCs w:val="22"/>
        </w:rPr>
        <w:t>.</w:t>
      </w:r>
    </w:p>
    <w:p w:rsidR="0032180C" w:rsidRDefault="0032180C" w:rsidP="0032180C">
      <w:pPr>
        <w:spacing w:after="120"/>
        <w:ind w:left="1418" w:hanging="1418"/>
        <w:rPr>
          <w:i/>
          <w:sz w:val="22"/>
          <w:szCs w:val="22"/>
        </w:rPr>
      </w:pPr>
    </w:p>
    <w:p w:rsidR="0032180C" w:rsidRDefault="0032180C" w:rsidP="0032180C">
      <w:pPr>
        <w:ind w:left="709" w:hanging="709"/>
      </w:pPr>
      <w:r>
        <w:tab/>
      </w:r>
      <w:r>
        <w:tab/>
        <w:t xml:space="preserve">Por fim, a inexigibilidade de licitação, no caso da contratação de serviços técnicos, não pode se afastar da necessidade de avaliação de um elemento fundamental e que, igualmente, não tem como ser mensurado objetivamente: a relação de confiança entre o administrador e o prestador do serviço. </w:t>
      </w:r>
    </w:p>
    <w:p w:rsidR="0032180C" w:rsidRDefault="0032180C" w:rsidP="0032180C">
      <w:pPr>
        <w:ind w:left="709" w:hanging="709"/>
      </w:pPr>
      <w:r>
        <w:lastRenderedPageBreak/>
        <w:tab/>
      </w:r>
      <w:r>
        <w:tab/>
        <w:t xml:space="preserve">Não é outro, aliás, o entendimento do Tribunal de Contas do Estado do Rio Grande do Sul, que, por meio de seu Tribunal Pleno, no processo n.º 1226-02.00/10-0, em anuência ao voto do Conselheiro </w:t>
      </w:r>
      <w:proofErr w:type="spellStart"/>
      <w:r>
        <w:t>Algir</w:t>
      </w:r>
      <w:proofErr w:type="spellEnd"/>
      <w:r>
        <w:t xml:space="preserve"> Lorenzon, firmou entendimento a servir de orientação aos procedimentos de auditorias de que:</w:t>
      </w:r>
    </w:p>
    <w:p w:rsidR="0032180C" w:rsidRDefault="0032180C" w:rsidP="0032180C">
      <w:pPr>
        <w:spacing w:after="120"/>
        <w:ind w:left="709" w:hanging="709"/>
      </w:pPr>
    </w:p>
    <w:p w:rsidR="0032180C" w:rsidRDefault="0032180C" w:rsidP="0032180C">
      <w:pPr>
        <w:spacing w:after="120"/>
        <w:ind w:left="1418" w:hanging="1418"/>
        <w:rPr>
          <w:i/>
          <w:sz w:val="22"/>
          <w:szCs w:val="22"/>
        </w:rPr>
      </w:pPr>
      <w:r>
        <w:tab/>
      </w:r>
      <w:r>
        <w:tab/>
      </w:r>
      <w:r>
        <w:rPr>
          <w:i/>
          <w:sz w:val="22"/>
          <w:szCs w:val="22"/>
        </w:rPr>
        <w:t xml:space="preserve">“(...) tem o Gestor Público, com finalidade de dotar a Administração de maior eficiência, consoante o previsto no artigo 37, caput, da Constituição Federal, combinado com o artigo 19 da Constituição Estadual, </w:t>
      </w:r>
      <w:r>
        <w:rPr>
          <w:b/>
          <w:i/>
          <w:sz w:val="22"/>
          <w:szCs w:val="22"/>
          <w:u w:val="single"/>
        </w:rPr>
        <w:t xml:space="preserve">o direito e o dever de procurar dotar o Órgão da melhor assessoria e assistência jurídica que </w:t>
      </w:r>
      <w:proofErr w:type="gramStart"/>
      <w:r>
        <w:rPr>
          <w:b/>
          <w:i/>
          <w:sz w:val="22"/>
          <w:szCs w:val="22"/>
          <w:u w:val="single"/>
        </w:rPr>
        <w:t>puder</w:t>
      </w:r>
      <w:r>
        <w:rPr>
          <w:i/>
          <w:sz w:val="22"/>
          <w:szCs w:val="22"/>
        </w:rPr>
        <w:t>,</w:t>
      </w:r>
      <w:proofErr w:type="gramEnd"/>
      <w:r>
        <w:rPr>
          <w:i/>
          <w:sz w:val="22"/>
          <w:szCs w:val="22"/>
        </w:rPr>
        <w:t xml:space="preserve"> atento, em especial, aos princípios referentes à legalidade, razoabilidade, proporcionalidade e da autotutela, agindo sempre com prudência nas despesas a serem efetuadas”</w:t>
      </w:r>
    </w:p>
    <w:p w:rsidR="0032180C" w:rsidRDefault="0032180C" w:rsidP="0032180C">
      <w:pPr>
        <w:spacing w:after="120"/>
        <w:ind w:left="1418" w:hanging="1418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(...)</w:t>
      </w:r>
    </w:p>
    <w:p w:rsidR="0032180C" w:rsidRDefault="0032180C" w:rsidP="0032180C">
      <w:pPr>
        <w:spacing w:after="120"/>
        <w:ind w:left="1418" w:hanging="1418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proofErr w:type="gramStart"/>
      <w:r>
        <w:rPr>
          <w:i/>
          <w:sz w:val="22"/>
          <w:szCs w:val="22"/>
        </w:rPr>
        <w:t>“A especialidade do profissional jurídico deve ser analisada pelo seu exercício (desempenho) anterior, seus estudos, experiências, publicações, organização, aparelhamento, equipe técnica, enfim outras condições (requisitos) decorrentes de suas atividades, as quais o singularizam e autorizam concluir ser seu trabalho o mais eficiente e adequado à Administração Pública, segundo hipótese legal prevista no § 1º, do artigo 25, da Lei de Licitações.</w:t>
      </w:r>
      <w:proofErr w:type="gramEnd"/>
    </w:p>
    <w:p w:rsidR="0032180C" w:rsidRDefault="0032180C" w:rsidP="0032180C">
      <w:pPr>
        <w:spacing w:after="120"/>
        <w:ind w:left="1418" w:hanging="1418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Acerca da exigência legal de serviços técnicos por profissionais especializados de natureza singular cabe citar Joel de Menezes </w:t>
      </w:r>
      <w:proofErr w:type="spellStart"/>
      <w:r>
        <w:rPr>
          <w:i/>
          <w:sz w:val="22"/>
          <w:szCs w:val="22"/>
        </w:rPr>
        <w:t>Niebuhr</w:t>
      </w:r>
      <w:proofErr w:type="spellEnd"/>
      <w:r>
        <w:rPr>
          <w:i/>
          <w:sz w:val="22"/>
          <w:szCs w:val="22"/>
        </w:rPr>
        <w:t>, que na obra Licitação Pública e Contrato Administrativo, Editora Fórum, 2011, leciona o seguinte:</w:t>
      </w:r>
    </w:p>
    <w:p w:rsidR="0032180C" w:rsidRDefault="0032180C" w:rsidP="0032180C">
      <w:pPr>
        <w:spacing w:after="120"/>
        <w:ind w:left="1418" w:hanging="1418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“A rigor, a hipótese de inexigibilidade prevista no inciso II, do art. 25 da Lei nº 8.666/93 não depende da exclusividade do contrato. A inexigibilidade é cabível ainda que várias pessoas tenham condições técnicas para executar o contrato. O pressuposto da inexigibilidade do inciso I do art. 25 é diverso do pressuposto do inciso II. O inciso I requer exclusividade. O inciso II, apenas singularidade”.</w:t>
      </w:r>
    </w:p>
    <w:p w:rsidR="0032180C" w:rsidRDefault="0032180C" w:rsidP="0032180C">
      <w:pPr>
        <w:spacing w:after="120"/>
        <w:ind w:left="1418" w:hanging="1418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(...)</w:t>
      </w:r>
    </w:p>
    <w:p w:rsidR="0032180C" w:rsidRDefault="0032180C" w:rsidP="0032180C">
      <w:pPr>
        <w:spacing w:after="120"/>
        <w:ind w:left="1418" w:hanging="1418"/>
        <w:rPr>
          <w:i/>
          <w:iCs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Assim, no elemento singularidade entra a subjetividade, sendo que a inexigibilidade decorre da inviabilidade da comparação de forma objetiva, posto que presente ato pessoal, em que pesa a experiência de cada um dos profissionais da área, com suas particularidades, consoante, inclusive, os requisitos contidos no § 1º, do artigo 25 da Lei Federal nº 8.666/93, circunstância que torna inexigível a competição, ou como bem afirmou a Ministra do Supremo Tribunal Federal Carmem Lúcia, por ocasião do julgamento da Ação Penal 348-5, Santa Catarina, </w:t>
      </w:r>
      <w:proofErr w:type="spellStart"/>
      <w:r>
        <w:rPr>
          <w:i/>
          <w:iCs/>
          <w:sz w:val="22"/>
          <w:szCs w:val="22"/>
        </w:rPr>
        <w:t>verbis</w:t>
      </w:r>
      <w:proofErr w:type="spellEnd"/>
      <w:r>
        <w:rPr>
          <w:i/>
          <w:iCs/>
          <w:sz w:val="22"/>
          <w:szCs w:val="22"/>
        </w:rPr>
        <w:t>:</w:t>
      </w:r>
    </w:p>
    <w:p w:rsidR="0032180C" w:rsidRDefault="0032180C" w:rsidP="0032180C">
      <w:pPr>
        <w:spacing w:after="120"/>
        <w:ind w:left="1418" w:hanging="1418"/>
        <w:rPr>
          <w:i/>
          <w:sz w:val="22"/>
          <w:szCs w:val="22"/>
        </w:rPr>
      </w:pP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sz w:val="22"/>
          <w:szCs w:val="22"/>
        </w:rPr>
        <w:t xml:space="preserve">“No caso de contratação de advogados, tal como justificado, motivado, ocorreria realmente </w:t>
      </w:r>
      <w:proofErr w:type="gramStart"/>
      <w:r>
        <w:rPr>
          <w:i/>
          <w:sz w:val="22"/>
          <w:szCs w:val="22"/>
        </w:rPr>
        <w:t>a</w:t>
      </w:r>
      <w:proofErr w:type="gramEnd"/>
      <w:r>
        <w:rPr>
          <w:i/>
          <w:sz w:val="22"/>
          <w:szCs w:val="22"/>
        </w:rPr>
        <w:t xml:space="preserve"> situação prevista de inexigibilidade de licitação, pois não há, como disse o Ministro Eros Grau, condições de objetivamente cumprir-se o artigo 3º da Lei nº 8.666/93. Um dos princípios da licitação, postos no artigo 3º, é exatamente o do julgamento objetivo. Não há como dar julgamento objetivo entre dois ou mais advogados. De toda a sorte, como verificar se um é melhor do que o outro? Cada pessoa advoga de um jeito. Não há como objetivar isso. Este é o típico caso, como mencionou o Ministro Eros Grau, de inexigibilidade de licitação – artigo 25 c/c artigo 13.”</w:t>
      </w:r>
    </w:p>
    <w:p w:rsidR="0032180C" w:rsidRDefault="0032180C" w:rsidP="0032180C">
      <w:pPr>
        <w:spacing w:after="120"/>
        <w:ind w:left="1418" w:hanging="1418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Refiro, ainda, como exemplo de situação em que não é possível realizar uma comparação de forma objetiva, com resultado preciso para dizer qual o melhor julgador, quando neste Tribunal, por ocasião da apreciação de um </w:t>
      </w:r>
      <w:r>
        <w:rPr>
          <w:i/>
          <w:sz w:val="22"/>
          <w:szCs w:val="22"/>
        </w:rPr>
        <w:lastRenderedPageBreak/>
        <w:t xml:space="preserve">mesmo caso, seja por meio de Parecer ou julgamento, tivermos a atuação dos eminentes Conselheiros, em substituição, Alexandre </w:t>
      </w:r>
      <w:proofErr w:type="spellStart"/>
      <w:r>
        <w:rPr>
          <w:i/>
          <w:sz w:val="22"/>
          <w:szCs w:val="22"/>
        </w:rPr>
        <w:t>Mariotti</w:t>
      </w:r>
      <w:proofErr w:type="spellEnd"/>
      <w:r>
        <w:rPr>
          <w:i/>
          <w:sz w:val="22"/>
          <w:szCs w:val="22"/>
        </w:rPr>
        <w:t xml:space="preserve">, Heloisa Goulart Piccinini e Cesar </w:t>
      </w:r>
      <w:proofErr w:type="spellStart"/>
      <w:r>
        <w:rPr>
          <w:i/>
          <w:sz w:val="22"/>
          <w:szCs w:val="22"/>
        </w:rPr>
        <w:t>Santolim</w:t>
      </w:r>
      <w:proofErr w:type="spellEnd"/>
      <w:r>
        <w:rPr>
          <w:i/>
          <w:sz w:val="22"/>
          <w:szCs w:val="22"/>
        </w:rPr>
        <w:t xml:space="preserve">, visto que </w:t>
      </w:r>
      <w:proofErr w:type="gramStart"/>
      <w:r>
        <w:rPr>
          <w:i/>
          <w:sz w:val="22"/>
          <w:szCs w:val="22"/>
        </w:rPr>
        <w:t>são</w:t>
      </w:r>
      <w:proofErr w:type="gramEnd"/>
      <w:r>
        <w:rPr>
          <w:i/>
          <w:sz w:val="22"/>
          <w:szCs w:val="22"/>
        </w:rPr>
        <w:t xml:space="preserve"> membros desta Corte com altíssima capacidade jurídica, condição, que por não ser isolada, pode ser atribuída aos casos da contratação de advogados para prestar serviços jurídicos.</w:t>
      </w:r>
    </w:p>
    <w:p w:rsidR="0032180C" w:rsidRDefault="0032180C" w:rsidP="0032180C">
      <w:pPr>
        <w:spacing w:after="120"/>
        <w:ind w:left="1418" w:hanging="1418"/>
        <w:rPr>
          <w:b/>
          <w:bCs/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Nessas circunstâncias, não há como </w:t>
      </w:r>
      <w:r>
        <w:rPr>
          <w:b/>
          <w:bCs/>
          <w:i/>
          <w:sz w:val="22"/>
          <w:szCs w:val="22"/>
        </w:rPr>
        <w:t>medir, auferir com certeza absoluta</w:t>
      </w:r>
      <w:r>
        <w:rPr>
          <w:i/>
          <w:sz w:val="22"/>
          <w:szCs w:val="22"/>
        </w:rPr>
        <w:t xml:space="preserve"> que o trabalho intelectual de um seja melhor que o do outro, já que minha escolha, em verdade, </w:t>
      </w:r>
      <w:r>
        <w:rPr>
          <w:b/>
          <w:bCs/>
          <w:i/>
          <w:sz w:val="22"/>
          <w:szCs w:val="22"/>
        </w:rPr>
        <w:t>envolvera uma subjetividade lastreada pelo livre convencimento.</w:t>
      </w:r>
    </w:p>
    <w:p w:rsidR="0032180C" w:rsidRDefault="0032180C" w:rsidP="0032180C">
      <w:pPr>
        <w:spacing w:after="120"/>
        <w:ind w:left="1418" w:hanging="1418"/>
        <w:rPr>
          <w:bCs/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bCs/>
          <w:i/>
          <w:sz w:val="22"/>
          <w:szCs w:val="22"/>
        </w:rPr>
        <w:t>I</w:t>
      </w:r>
      <w:r>
        <w:rPr>
          <w:i/>
          <w:sz w:val="22"/>
          <w:szCs w:val="22"/>
        </w:rPr>
        <w:t xml:space="preserve">sso também pode ocorrer com o Administrador Público, quando necessitar de um assessoramento jurídico, tendo que ter um profissional, um especialista da área do Direito para solver determinada questão jurídica, a fim de obter uma solução mais eficiente ao órgão que </w:t>
      </w:r>
      <w:proofErr w:type="gramStart"/>
      <w:r>
        <w:rPr>
          <w:i/>
          <w:sz w:val="22"/>
          <w:szCs w:val="22"/>
        </w:rPr>
        <w:t>gerencia,</w:t>
      </w:r>
      <w:proofErr w:type="gramEnd"/>
      <w:r>
        <w:rPr>
          <w:i/>
          <w:sz w:val="22"/>
          <w:szCs w:val="22"/>
        </w:rPr>
        <w:t xml:space="preserve"> momento em que, certamente, além daqueles requisitos estabelecidos legalmente, </w:t>
      </w:r>
      <w:r>
        <w:rPr>
          <w:b/>
          <w:bCs/>
          <w:i/>
          <w:sz w:val="22"/>
          <w:szCs w:val="22"/>
        </w:rPr>
        <w:t>a que se ter presente que a subjetividade envolve</w:t>
      </w:r>
      <w:r>
        <w:rPr>
          <w:i/>
          <w:sz w:val="22"/>
          <w:szCs w:val="22"/>
        </w:rPr>
        <w:t xml:space="preserve"> </w:t>
      </w:r>
      <w:r>
        <w:rPr>
          <w:b/>
          <w:bCs/>
          <w:i/>
          <w:sz w:val="22"/>
          <w:szCs w:val="22"/>
        </w:rPr>
        <w:t>o elemento confiança</w:t>
      </w:r>
      <w:r>
        <w:rPr>
          <w:bCs/>
          <w:i/>
          <w:sz w:val="22"/>
          <w:szCs w:val="22"/>
        </w:rPr>
        <w:t>.</w:t>
      </w:r>
    </w:p>
    <w:p w:rsidR="0032180C" w:rsidRDefault="0032180C" w:rsidP="0032180C">
      <w:pPr>
        <w:spacing w:after="120"/>
        <w:ind w:left="1418" w:hanging="1418"/>
        <w:rPr>
          <w:i/>
          <w:sz w:val="22"/>
          <w:szCs w:val="22"/>
        </w:rPr>
      </w:pPr>
      <w:r>
        <w:rPr>
          <w:bCs/>
          <w:i/>
          <w:sz w:val="22"/>
          <w:szCs w:val="22"/>
        </w:rPr>
        <w:tab/>
      </w:r>
      <w:r>
        <w:rPr>
          <w:bCs/>
          <w:i/>
          <w:sz w:val="22"/>
          <w:szCs w:val="22"/>
        </w:rPr>
        <w:tab/>
      </w:r>
      <w:r>
        <w:rPr>
          <w:i/>
          <w:sz w:val="22"/>
          <w:szCs w:val="22"/>
        </w:rPr>
        <w:t xml:space="preserve">Nesse sentido, repiso julgado deste Pleno, no sentido de aceitar a contratação de serviços de advocatícios sem a realização de licitação, o Processo de Recurso de Embargos nº 4495-02.00/09-5, Sessão de 21 de outubro de 2009, em que foi Relator o Conselheiro </w:t>
      </w:r>
      <w:proofErr w:type="spellStart"/>
      <w:r>
        <w:rPr>
          <w:i/>
          <w:sz w:val="22"/>
          <w:szCs w:val="22"/>
        </w:rPr>
        <w:t>Helio</w:t>
      </w:r>
      <w:proofErr w:type="spellEnd"/>
      <w:r>
        <w:rPr>
          <w:i/>
          <w:sz w:val="22"/>
          <w:szCs w:val="22"/>
        </w:rPr>
        <w:t xml:space="preserve"> Saul </w:t>
      </w:r>
      <w:proofErr w:type="spellStart"/>
      <w:r>
        <w:rPr>
          <w:i/>
          <w:sz w:val="22"/>
          <w:szCs w:val="22"/>
        </w:rPr>
        <w:t>Mileski</w:t>
      </w:r>
      <w:proofErr w:type="spellEnd"/>
      <w:r>
        <w:rPr>
          <w:i/>
          <w:sz w:val="22"/>
          <w:szCs w:val="22"/>
        </w:rPr>
        <w:t xml:space="preserve">, cabendo transcrever o seguinte, </w:t>
      </w:r>
      <w:r>
        <w:rPr>
          <w:i/>
          <w:iCs/>
          <w:sz w:val="22"/>
          <w:szCs w:val="22"/>
        </w:rPr>
        <w:t xml:space="preserve">in </w:t>
      </w:r>
      <w:proofErr w:type="spellStart"/>
      <w:r>
        <w:rPr>
          <w:i/>
          <w:iCs/>
          <w:sz w:val="22"/>
          <w:szCs w:val="22"/>
        </w:rPr>
        <w:t>verbis</w:t>
      </w:r>
      <w:proofErr w:type="spellEnd"/>
      <w:r>
        <w:rPr>
          <w:i/>
          <w:sz w:val="22"/>
          <w:szCs w:val="22"/>
        </w:rPr>
        <w:t>:</w:t>
      </w:r>
    </w:p>
    <w:p w:rsidR="0032180C" w:rsidRDefault="0032180C" w:rsidP="0032180C">
      <w:pPr>
        <w:spacing w:after="120"/>
        <w:ind w:left="1418" w:hanging="1418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“Relativamente aos serviços advocatícios o meu entendimento, já tantas vezes expresso, é pela possibilidade da contratação direta, sem necessidade de licitação, por tratar-se de serviço especializado e baseado no elemento confiança. Tem </w:t>
      </w:r>
      <w:proofErr w:type="gramStart"/>
      <w:r>
        <w:rPr>
          <w:i/>
          <w:sz w:val="22"/>
          <w:szCs w:val="22"/>
        </w:rPr>
        <w:t>esta Corte reiteradamente decidido neste sentido, a partir do julgamento efetuado na Prestação de Contas do exercício de 1995 do Executivo Municipal de Itatiba do Sul</w:t>
      </w:r>
      <w:proofErr w:type="gramEnd"/>
      <w:r>
        <w:rPr>
          <w:i/>
          <w:sz w:val="22"/>
          <w:szCs w:val="22"/>
        </w:rPr>
        <w:t>, Processo nº 2085-02.00/96-7, ocorrido na Sessão Plenária de 12.06.97. (...)” (grifei)</w:t>
      </w:r>
    </w:p>
    <w:p w:rsidR="0032180C" w:rsidRDefault="0032180C" w:rsidP="0032180C">
      <w:pPr>
        <w:spacing w:after="120"/>
        <w:ind w:left="709" w:hanging="709"/>
      </w:pPr>
      <w:r>
        <w:tab/>
      </w:r>
      <w:r>
        <w:tab/>
      </w:r>
    </w:p>
    <w:p w:rsidR="0032180C" w:rsidRDefault="0032180C" w:rsidP="0032180C">
      <w:pPr>
        <w:spacing w:after="120"/>
        <w:ind w:left="709" w:hanging="709"/>
      </w:pPr>
      <w:r>
        <w:tab/>
      </w:r>
      <w:r>
        <w:tab/>
        <w:t>Além de o IGAM ser empresa tradicional em sua área de atuação, prestando serviços a órgãos públicos desde 1.992, somente no ano de 2014 respondeu a 18 consultas por escrito, realizou 32 atendimentos telefônicos ou por internet e enviou 320 e-mails sobre assuntos de interesse da Câmara Municipal de Caxias do Sul, conforme comprova cópia do relatório de serviços prestados no ano de 2014.</w:t>
      </w:r>
    </w:p>
    <w:p w:rsidR="0032180C" w:rsidRDefault="0032180C" w:rsidP="0032180C">
      <w:pPr>
        <w:spacing w:after="120"/>
        <w:ind w:left="709" w:hanging="709"/>
        <w:rPr>
          <w:i/>
          <w:sz w:val="22"/>
          <w:szCs w:val="22"/>
        </w:rPr>
      </w:pPr>
      <w:r>
        <w:tab/>
      </w:r>
      <w:r>
        <w:tab/>
        <w:t>A prestação dos serviços à Câmara Municipal por este órgão demonstra não apenas a relação de confiança existente, como também a necessidade de se contar com esse serviço de assessoria e informação técnica, especialmente para o bom andamento dos trabalhos administrativos e legislativos desta casa. Trata-se de serviço de especial utilidade, principalmente na orientação técnica aos Vereadores, a fim de se assegurar da constitucionalidade e legalidade dos projetos legislativos, contando com a opinião especializada de mais de um órgão consultivo.</w:t>
      </w:r>
    </w:p>
    <w:p w:rsidR="0032180C" w:rsidRDefault="0032180C" w:rsidP="0032180C">
      <w:pPr>
        <w:spacing w:after="120"/>
        <w:ind w:left="709" w:hanging="709"/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 xml:space="preserve">Feitas essas considerações e presente a inviabilidade de competição, para viabilizar a contratação deverão ser observadas, ainda, as </w:t>
      </w:r>
      <w:r>
        <w:t>exigências contidas no art. 26, parágrafo único da Lei n.º 8.666/93, especialmente a justificativa do preço</w:t>
      </w:r>
      <w:r>
        <w:rPr>
          <w:color w:val="000000"/>
          <w:szCs w:val="24"/>
        </w:rPr>
        <w:t>.</w:t>
      </w:r>
    </w:p>
    <w:p w:rsidR="0032180C" w:rsidRDefault="0032180C" w:rsidP="0032180C">
      <w:pPr>
        <w:spacing w:after="120"/>
        <w:ind w:left="709" w:hanging="709"/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 xml:space="preserve">O Instituto </w:t>
      </w:r>
      <w:proofErr w:type="spellStart"/>
      <w:r>
        <w:t>Gamma</w:t>
      </w:r>
      <w:proofErr w:type="spellEnd"/>
      <w:r>
        <w:t xml:space="preserve"> de Assessoria a Órgãos Públicos propõe, pela prestação dos referidos serviços, o valor de R$ 1.200,00 (um mil e duzentos reais) mensais, valor ajustado como preço de mercado e justo para a prestação </w:t>
      </w:r>
      <w:r>
        <w:lastRenderedPageBreak/>
        <w:t xml:space="preserve">dos serviços, compatível com o preço praticado para outras casas legislativas, conforme consulta realizada pela </w:t>
      </w:r>
      <w:r>
        <w:rPr>
          <w:i/>
        </w:rPr>
        <w:t>internet</w:t>
      </w:r>
      <w:r>
        <w:t>.</w:t>
      </w:r>
    </w:p>
    <w:p w:rsidR="0032180C" w:rsidRDefault="0032180C" w:rsidP="0032180C">
      <w:pPr>
        <w:spacing w:after="120"/>
        <w:ind w:left="709" w:hanging="709"/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t xml:space="preserve">Considerando, assim, a confiança depositada pelo Poder Legislativo no Instituto </w:t>
      </w:r>
      <w:proofErr w:type="spellStart"/>
      <w:r>
        <w:t>Gamma</w:t>
      </w:r>
      <w:proofErr w:type="spellEnd"/>
      <w:r>
        <w:t xml:space="preserve"> de Assessoria a Órgãos Públicos, bem como a singularidade do serviço, a impedir a realização de licitação, entendo que se poderá ser possível </w:t>
      </w:r>
      <w:proofErr w:type="gramStart"/>
      <w:r>
        <w:t>a</w:t>
      </w:r>
      <w:proofErr w:type="gramEnd"/>
      <w:r>
        <w:t xml:space="preserve"> contratação direta, com fulcro no art. 25, caput, e incisos I e II, da Lei n.º 8.666/93, tendo em vista, ainda e especialmente, a necessidade de se contar com os melhores serviços de informação e assessoria técnica nas áreas contábil, jurídica e de gestão.</w:t>
      </w:r>
    </w:p>
    <w:p w:rsidR="0032180C" w:rsidRDefault="0032180C" w:rsidP="0032180C">
      <w:pPr>
        <w:spacing w:after="120"/>
        <w:ind w:left="709" w:hanging="709"/>
      </w:pPr>
      <w:r>
        <w:tab/>
      </w:r>
      <w:r>
        <w:tab/>
        <w:t xml:space="preserve">É o Parecer </w:t>
      </w:r>
      <w:r>
        <w:rPr>
          <w:rFonts w:cs="Arial"/>
          <w:szCs w:val="24"/>
        </w:rPr>
        <w:t xml:space="preserve">que submeto à vossa apreciação, </w:t>
      </w:r>
      <w:proofErr w:type="gramStart"/>
      <w:r>
        <w:rPr>
          <w:rFonts w:cs="Arial"/>
          <w:szCs w:val="24"/>
        </w:rPr>
        <w:t>sob censura</w:t>
      </w:r>
      <w:proofErr w:type="gramEnd"/>
      <w:r>
        <w:t>.</w:t>
      </w:r>
    </w:p>
    <w:p w:rsidR="0032180C" w:rsidRDefault="0032180C" w:rsidP="0032180C">
      <w:pPr>
        <w:ind w:left="2127" w:hanging="2127"/>
      </w:pPr>
    </w:p>
    <w:p w:rsidR="0032180C" w:rsidRDefault="0032180C" w:rsidP="0032180C">
      <w:pPr>
        <w:ind w:left="2127" w:hanging="2127"/>
      </w:pPr>
    </w:p>
    <w:p w:rsidR="0032180C" w:rsidRDefault="0032180C" w:rsidP="0032180C">
      <w:pPr>
        <w:ind w:left="2127" w:hanging="2127"/>
      </w:pPr>
    </w:p>
    <w:p w:rsidR="0032180C" w:rsidRDefault="0032180C" w:rsidP="0032180C">
      <w:pPr>
        <w:ind w:left="2126" w:hanging="2126"/>
        <w:jc w:val="center"/>
      </w:pPr>
      <w:r>
        <w:t>Fabrício P. Carelli</w:t>
      </w:r>
    </w:p>
    <w:p w:rsidR="0032180C" w:rsidRDefault="0032180C" w:rsidP="0032180C">
      <w:pPr>
        <w:ind w:left="2126" w:hanging="2126"/>
        <w:jc w:val="center"/>
      </w:pPr>
      <w:r>
        <w:t>Assessor Jurídico</w:t>
      </w:r>
    </w:p>
    <w:p w:rsidR="0032180C" w:rsidRDefault="0032180C" w:rsidP="0032180C">
      <w:pPr>
        <w:ind w:left="2126" w:hanging="2126"/>
        <w:jc w:val="center"/>
      </w:pPr>
      <w:r>
        <w:t>Mat. 238-5</w:t>
      </w:r>
    </w:p>
    <w:p w:rsidR="0032180C" w:rsidRDefault="0032180C" w:rsidP="0032180C">
      <w:pPr>
        <w:ind w:left="2126" w:hanging="2126"/>
        <w:jc w:val="center"/>
      </w:pPr>
    </w:p>
    <w:p w:rsidR="0032180C" w:rsidRDefault="0032180C" w:rsidP="0032180C">
      <w:pPr>
        <w:ind w:left="2126" w:hanging="2126"/>
        <w:jc w:val="center"/>
      </w:pPr>
    </w:p>
    <w:p w:rsidR="0032180C" w:rsidRDefault="0032180C" w:rsidP="0032180C">
      <w:pPr>
        <w:pStyle w:val="Corpodetexto21"/>
        <w:widowControl/>
        <w:ind w:firstLine="708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    </w:t>
      </w:r>
    </w:p>
    <w:bookmarkStart w:id="0" w:name="_GoBack"/>
    <w:bookmarkEnd w:id="0"/>
    <w:bookmarkStart w:id="1" w:name="_MON_1495355592"/>
    <w:bookmarkEnd w:id="1"/>
    <w:p w:rsidR="001D5BCF" w:rsidRDefault="000B5155">
      <w:r>
        <w:object w:dxaOrig="1530" w:dyaOrig="10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95pt" o:ole="">
            <v:imagedata r:id="rId7" o:title=""/>
          </v:shape>
          <o:OLEObject Type="Embed" ProgID="Word.Document.8" ShapeID="_x0000_i1025" DrawAspect="Icon" ObjectID="_1495355748" r:id="rId8">
            <o:FieldCodes>\s</o:FieldCodes>
          </o:OLEObject>
        </w:object>
      </w:r>
    </w:p>
    <w:sectPr w:rsidR="001D5B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80C" w:rsidRDefault="0032180C" w:rsidP="0032180C">
      <w:r>
        <w:separator/>
      </w:r>
    </w:p>
  </w:endnote>
  <w:endnote w:type="continuationSeparator" w:id="0">
    <w:p w:rsidR="0032180C" w:rsidRDefault="0032180C" w:rsidP="00321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80C" w:rsidRDefault="0032180C" w:rsidP="0032180C">
      <w:r>
        <w:separator/>
      </w:r>
    </w:p>
  </w:footnote>
  <w:footnote w:type="continuationSeparator" w:id="0">
    <w:p w:rsidR="0032180C" w:rsidRDefault="0032180C" w:rsidP="0032180C">
      <w:r>
        <w:continuationSeparator/>
      </w:r>
    </w:p>
  </w:footnote>
  <w:footnote w:id="1">
    <w:p w:rsidR="0032180C" w:rsidRDefault="0032180C" w:rsidP="0032180C">
      <w:pPr>
        <w:pStyle w:val="Textodenotaderodap"/>
        <w:rPr>
          <w:rFonts w:ascii="Times New Roman" w:hAnsi="Times New Roman"/>
          <w:sz w:val="20"/>
          <w:szCs w:val="20"/>
        </w:rPr>
      </w:pPr>
      <w:r>
        <w:rPr>
          <w:rStyle w:val="Refdenotaderodap"/>
        </w:rPr>
        <w:footnoteRef/>
      </w:r>
      <w:r>
        <w:t xml:space="preserve"> </w:t>
      </w:r>
      <w:r>
        <w:rPr>
          <w:i/>
        </w:rPr>
        <w:t>Idem. Op. cit.</w:t>
      </w:r>
      <w:r>
        <w:t>,</w:t>
      </w:r>
      <w:r>
        <w:rPr>
          <w:i/>
        </w:rPr>
        <w:t xml:space="preserve"> </w:t>
      </w:r>
      <w:r>
        <w:t>p. 347/348.</w:t>
      </w:r>
    </w:p>
  </w:footnote>
  <w:footnote w:id="2">
    <w:p w:rsidR="0032180C" w:rsidRDefault="0032180C" w:rsidP="0032180C">
      <w:pPr>
        <w:pStyle w:val="Textodenotaderodap"/>
      </w:pPr>
      <w:r>
        <w:rPr>
          <w:rStyle w:val="Refdenotaderodap"/>
        </w:rPr>
        <w:footnoteRef/>
      </w:r>
      <w:r>
        <w:rPr>
          <w:i/>
        </w:rPr>
        <w:t xml:space="preserve"> Idem</w:t>
      </w:r>
      <w:r>
        <w:t>. Op. cit. págs. 563-564,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DB9"/>
    <w:rsid w:val="000B5155"/>
    <w:rsid w:val="001D5BCF"/>
    <w:rsid w:val="0032180C"/>
    <w:rsid w:val="009D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80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notaderodapChar">
    <w:name w:val="Texto de nota de rodapé Char"/>
    <w:aliases w:val="Char Char"/>
    <w:basedOn w:val="Fontepargpadro"/>
    <w:link w:val="Textodenotaderodap"/>
    <w:semiHidden/>
    <w:locked/>
    <w:rsid w:val="0032180C"/>
    <w:rPr>
      <w:lang w:eastAsia="ar-SA"/>
    </w:rPr>
  </w:style>
  <w:style w:type="paragraph" w:styleId="Textodenotaderodap">
    <w:name w:val="footnote text"/>
    <w:aliases w:val="Char"/>
    <w:basedOn w:val="Normal"/>
    <w:link w:val="TextodenotaderodapChar"/>
    <w:semiHidden/>
    <w:unhideWhenUsed/>
    <w:rsid w:val="0032180C"/>
    <w:rPr>
      <w:rFonts w:asciiTheme="minorHAnsi" w:eastAsiaTheme="minorHAnsi" w:hAnsiTheme="minorHAnsi" w:cstheme="minorBidi"/>
      <w:sz w:val="22"/>
      <w:szCs w:val="22"/>
    </w:rPr>
  </w:style>
  <w:style w:type="character" w:customStyle="1" w:styleId="TextodenotaderodapChar1">
    <w:name w:val="Texto de nota de rodapé Char1"/>
    <w:basedOn w:val="Fontepargpadro"/>
    <w:uiPriority w:val="99"/>
    <w:semiHidden/>
    <w:rsid w:val="003218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rpodetexto21">
    <w:name w:val="Corpo de texto 21"/>
    <w:basedOn w:val="Normal"/>
    <w:rsid w:val="0032180C"/>
    <w:pPr>
      <w:widowControl w:val="0"/>
      <w:suppressAutoHyphens w:val="0"/>
    </w:pPr>
    <w:rPr>
      <w:rFonts w:ascii="Arial" w:hAnsi="Arial"/>
      <w:sz w:val="20"/>
      <w:lang w:eastAsia="pt-BR"/>
    </w:rPr>
  </w:style>
  <w:style w:type="character" w:styleId="Refdenotaderodap">
    <w:name w:val="footnote reference"/>
    <w:semiHidden/>
    <w:unhideWhenUsed/>
    <w:rsid w:val="0032180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80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notaderodapChar">
    <w:name w:val="Texto de nota de rodapé Char"/>
    <w:aliases w:val="Char Char"/>
    <w:basedOn w:val="Fontepargpadro"/>
    <w:link w:val="Textodenotaderodap"/>
    <w:semiHidden/>
    <w:locked/>
    <w:rsid w:val="0032180C"/>
    <w:rPr>
      <w:lang w:eastAsia="ar-SA"/>
    </w:rPr>
  </w:style>
  <w:style w:type="paragraph" w:styleId="Textodenotaderodap">
    <w:name w:val="footnote text"/>
    <w:aliases w:val="Char"/>
    <w:basedOn w:val="Normal"/>
    <w:link w:val="TextodenotaderodapChar"/>
    <w:semiHidden/>
    <w:unhideWhenUsed/>
    <w:rsid w:val="0032180C"/>
    <w:rPr>
      <w:rFonts w:asciiTheme="minorHAnsi" w:eastAsiaTheme="minorHAnsi" w:hAnsiTheme="minorHAnsi" w:cstheme="minorBidi"/>
      <w:sz w:val="22"/>
      <w:szCs w:val="22"/>
    </w:rPr>
  </w:style>
  <w:style w:type="character" w:customStyle="1" w:styleId="TextodenotaderodapChar1">
    <w:name w:val="Texto de nota de rodapé Char1"/>
    <w:basedOn w:val="Fontepargpadro"/>
    <w:uiPriority w:val="99"/>
    <w:semiHidden/>
    <w:rsid w:val="003218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rpodetexto21">
    <w:name w:val="Corpo de texto 21"/>
    <w:basedOn w:val="Normal"/>
    <w:rsid w:val="0032180C"/>
    <w:pPr>
      <w:widowControl w:val="0"/>
      <w:suppressAutoHyphens w:val="0"/>
    </w:pPr>
    <w:rPr>
      <w:rFonts w:ascii="Arial" w:hAnsi="Arial"/>
      <w:sz w:val="20"/>
      <w:lang w:eastAsia="pt-BR"/>
    </w:rPr>
  </w:style>
  <w:style w:type="character" w:styleId="Refdenotaderodap">
    <w:name w:val="footnote reference"/>
    <w:semiHidden/>
    <w:unhideWhenUsed/>
    <w:rsid w:val="003218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6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Document1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2475</Words>
  <Characters>13368</Characters>
  <Application>Microsoft Office Word</Application>
  <DocSecurity>0</DocSecurity>
  <Lines>111</Lines>
  <Paragraphs>31</Paragraphs>
  <ScaleCrop>false</ScaleCrop>
  <Company/>
  <LinksUpToDate>false</LinksUpToDate>
  <CharactersWithSpaces>15812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Bianchi</dc:creator>
  <cp:keywords/>
  <dc:description/>
  <cp:lastModifiedBy>José Bianchi</cp:lastModifiedBy>
  <cp:revision>3</cp:revision>
  <dcterms:created xsi:type="dcterms:W3CDTF">2015-06-09T14:47:00Z</dcterms:created>
  <dcterms:modified xsi:type="dcterms:W3CDTF">2015-06-09T14:49:00Z</dcterms:modified>
</cp:coreProperties>
</file>